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 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Opdracht 1</w:t>
      </w:r>
      <w:r>
        <w:rPr>
          <w:rFonts w:ascii="Arial-BoldMT" w:hAnsi="Arial-BoldMT" w:cs="Arial-BoldMT"/>
          <w:b/>
          <w:bCs/>
          <w:sz w:val="28"/>
          <w:szCs w:val="28"/>
        </w:rPr>
        <w:tab/>
        <w:t xml:space="preserve"> </w:t>
      </w: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>Gewasbescherming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Het voorkomen van plagen en ziekten of het bestrijden ervan kan op vier manieren: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• mechanisch;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• chemisch;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• biologisch;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• geïntegreerd.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</w:t>
      </w:r>
      <w:r>
        <w:rPr>
          <w:rFonts w:ascii="ArialMT" w:hAnsi="ArialMT" w:cs="ArialMT"/>
          <w:sz w:val="20"/>
          <w:szCs w:val="20"/>
        </w:rPr>
        <w:tab/>
        <w:t>Zoek in een woordenboek of internet de betekenis op van chemische gewasbescherming.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</w:t>
      </w:r>
      <w:r>
        <w:rPr>
          <w:rFonts w:ascii="ArialMT" w:hAnsi="ArialMT" w:cs="ArialMT"/>
          <w:sz w:val="20"/>
          <w:szCs w:val="20"/>
        </w:rPr>
        <w:tab/>
        <w:t>Zoek in een woordenboek of internet de betekenis op van mechanische gewasbescherming.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59D4" w:rsidRDefault="000059D4" w:rsidP="00005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</w:t>
      </w:r>
      <w:r>
        <w:rPr>
          <w:rFonts w:ascii="ArialMT" w:hAnsi="ArialMT" w:cs="ArialMT"/>
          <w:sz w:val="20"/>
          <w:szCs w:val="20"/>
        </w:rPr>
        <w:tab/>
        <w:t>Zoek in een woordenboek</w:t>
      </w:r>
      <w:r w:rsidRPr="00FF0971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of internet de betekenis op van biologische gewasbescherming.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59D4" w:rsidRDefault="000059D4" w:rsidP="00005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</w:t>
      </w:r>
      <w:r>
        <w:rPr>
          <w:rFonts w:ascii="ArialMT" w:hAnsi="ArialMT" w:cs="ArialMT"/>
          <w:sz w:val="20"/>
          <w:szCs w:val="20"/>
        </w:rPr>
        <w:tab/>
        <w:t>In de volgende drie figuren staan drie manieren om een gewas te beschermen: biologisch, chemisch en mechanisch. Zet de naam van de methode onder de juiste figuur.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  <w:sectPr w:rsidR="00FF0971" w:rsidSect="009E2B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noProof/>
          <w:sz w:val="20"/>
          <w:szCs w:val="20"/>
          <w:lang w:eastAsia="nl-NL"/>
        </w:rPr>
        <w:drawing>
          <wp:inline distT="0" distB="0" distL="0" distR="0">
            <wp:extent cx="2447925" cy="148590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971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noProof/>
          <w:sz w:val="20"/>
          <w:szCs w:val="20"/>
          <w:lang w:eastAsia="nl-NL"/>
        </w:rPr>
        <w:drawing>
          <wp:inline distT="0" distB="0" distL="0" distR="0">
            <wp:extent cx="3124200" cy="2090630"/>
            <wp:effectExtent l="19050" t="0" r="0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noProof/>
          <w:sz w:val="20"/>
          <w:szCs w:val="20"/>
          <w:lang w:eastAsia="nl-NL"/>
        </w:rPr>
        <w:drawing>
          <wp:inline distT="0" distB="0" distL="0" distR="0">
            <wp:extent cx="1504950" cy="2305889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0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971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  <w:sectPr w:rsidR="00FF0971" w:rsidSect="00FF09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Opdracht 2</w:t>
      </w:r>
      <w:r>
        <w:rPr>
          <w:rFonts w:ascii="Arial-BoldItalicMT" w:hAnsi="Arial-BoldItalicMT" w:cs="Arial-BoldItalicMT"/>
          <w:b/>
          <w:bCs/>
          <w:i/>
          <w:iCs/>
          <w:sz w:val="28"/>
          <w:szCs w:val="28"/>
        </w:rPr>
        <w:tab/>
        <w:t>Geïntegreerde gewasbescherming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Geïntegreerde gewasbescherming is een combinatie van de biologische en chemische methode. Het gewas bescherm je zoveel mogelijk op de biologische manier. Daar waar een biologische manier niet voldoet, kies je</w:t>
      </w:r>
      <w:r w:rsidR="00B04113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voor een chemische toepassing.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F0971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</w:t>
      </w:r>
      <w:r>
        <w:rPr>
          <w:rFonts w:ascii="ArialMT" w:hAnsi="ArialMT" w:cs="ArialMT"/>
          <w:sz w:val="20"/>
          <w:szCs w:val="20"/>
        </w:rPr>
        <w:tab/>
      </w:r>
      <w:r w:rsidR="00FF0971">
        <w:rPr>
          <w:rFonts w:ascii="ArialMT" w:hAnsi="ArialMT" w:cs="ArialMT"/>
          <w:sz w:val="20"/>
          <w:szCs w:val="20"/>
        </w:rPr>
        <w:t xml:space="preserve">Stel, jij bent een plantenteler: voor welke gewasbeschermingmethode zou jij dan kiezen? </w:t>
      </w:r>
    </w:p>
    <w:p w:rsidR="00FF0971" w:rsidRDefault="00FF0971" w:rsidP="000059D4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Leg je antwoord uit.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0059D4" w:rsidP="00005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B</w:t>
      </w:r>
      <w:r>
        <w:rPr>
          <w:rFonts w:ascii="Arial-ItalicMT" w:hAnsi="Arial-ItalicMT" w:cs="Arial-ItalicMT"/>
          <w:i/>
          <w:iCs/>
          <w:sz w:val="20"/>
          <w:szCs w:val="20"/>
        </w:rPr>
        <w:tab/>
      </w:r>
      <w:r w:rsidR="00FF0971">
        <w:rPr>
          <w:rFonts w:ascii="ArialMT" w:hAnsi="ArialMT" w:cs="ArialMT"/>
          <w:sz w:val="20"/>
          <w:szCs w:val="20"/>
        </w:rPr>
        <w:t xml:space="preserve">Je maakt een collage waarin je de genoemde </w:t>
      </w:r>
      <w:r>
        <w:rPr>
          <w:rFonts w:ascii="ArialMT" w:hAnsi="ArialMT" w:cs="ArialMT"/>
          <w:sz w:val="20"/>
          <w:szCs w:val="20"/>
        </w:rPr>
        <w:t>gewasbeschermingmethoden</w:t>
      </w:r>
      <w:r w:rsidR="00FF0971">
        <w:rPr>
          <w:rFonts w:ascii="ArialMT" w:hAnsi="ArialMT" w:cs="ArialMT"/>
          <w:sz w:val="20"/>
          <w:szCs w:val="20"/>
        </w:rPr>
        <w:t xml:space="preserve"> verduidelijkt.</w:t>
      </w:r>
    </w:p>
    <w:p w:rsidR="00FF0971" w:rsidRDefault="00FF0971" w:rsidP="000059D4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 Zoek in vakbladen of op internet informatie over </w:t>
      </w:r>
      <w:r w:rsidR="000059D4">
        <w:rPr>
          <w:rFonts w:ascii="ArialMT" w:hAnsi="ArialMT" w:cs="ArialMT"/>
          <w:sz w:val="20"/>
          <w:szCs w:val="20"/>
        </w:rPr>
        <w:t>gewasbeschermingmethoden</w:t>
      </w:r>
      <w:r>
        <w:rPr>
          <w:rFonts w:ascii="ArialMT" w:hAnsi="ArialMT" w:cs="ArialMT"/>
          <w:sz w:val="20"/>
          <w:szCs w:val="20"/>
        </w:rPr>
        <w:t>.</w:t>
      </w:r>
    </w:p>
    <w:p w:rsidR="00FF0971" w:rsidRDefault="00FF0971" w:rsidP="000059D4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 Zoek passende plaatjes van de drie methoden.</w:t>
      </w:r>
    </w:p>
    <w:p w:rsidR="00FF0971" w:rsidRDefault="00FF0971" w:rsidP="000059D4">
      <w:pPr>
        <w:autoSpaceDE w:val="0"/>
        <w:autoSpaceDN w:val="0"/>
        <w:adjustRightInd w:val="0"/>
        <w:spacing w:after="0" w:line="240" w:lineRule="auto"/>
        <w:ind w:left="70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 Maak van de gevonden informatie en afbeeldingen een mooie collage op A3-papier. Je kunt de </w:t>
      </w:r>
      <w:proofErr w:type="spellStart"/>
      <w:r>
        <w:rPr>
          <w:rFonts w:ascii="ArialMT" w:hAnsi="ArialMT" w:cs="ArialMT"/>
          <w:sz w:val="20"/>
          <w:szCs w:val="20"/>
        </w:rPr>
        <w:t>teksteneerst</w:t>
      </w:r>
      <w:proofErr w:type="spellEnd"/>
      <w:r>
        <w:rPr>
          <w:rFonts w:ascii="ArialMT" w:hAnsi="ArialMT" w:cs="ArialMT"/>
          <w:sz w:val="20"/>
          <w:szCs w:val="20"/>
        </w:rPr>
        <w:t xml:space="preserve"> in Word typen. Je kunt ze dan in een leuke kleur en in een mooi lettertype uitprinten.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F0971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</w:p>
    <w:p w:rsidR="00FF0971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 collage is klaar</w:t>
      </w:r>
    </w:p>
    <w:p w:rsidR="00FF0971" w:rsidRDefault="00FF0971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 Hang je collage aan de muur in het lokaal.</w:t>
      </w:r>
    </w:p>
    <w:p w:rsidR="00FF0971" w:rsidRDefault="00FF0971" w:rsidP="00005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b </w:t>
      </w:r>
      <w:r w:rsidR="000059D4">
        <w:rPr>
          <w:rFonts w:ascii="ArialMT" w:hAnsi="ArialMT" w:cs="ArialMT"/>
          <w:sz w:val="20"/>
          <w:szCs w:val="20"/>
        </w:rPr>
        <w:t>Het is besproken met de leraar.</w:t>
      </w:r>
    </w:p>
    <w:p w:rsidR="000059D4" w:rsidRDefault="000059D4" w:rsidP="00005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59D4" w:rsidRDefault="000059D4" w:rsidP="000059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B04113" w:rsidRDefault="00B04113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FF0971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Opdracht 3</w:t>
      </w:r>
      <w:r>
        <w:rPr>
          <w:rFonts w:ascii="Arial-BoldMT" w:hAnsi="Arial-BoldMT" w:cs="Arial-BoldMT"/>
          <w:b/>
          <w:bCs/>
          <w:sz w:val="28"/>
          <w:szCs w:val="28"/>
        </w:rPr>
        <w:tab/>
      </w:r>
      <w:r w:rsidR="00FF0971">
        <w:rPr>
          <w:rFonts w:ascii="Arial-BoldMT" w:hAnsi="Arial-BoldMT" w:cs="Arial-BoldMT"/>
          <w:b/>
          <w:bCs/>
          <w:sz w:val="28"/>
          <w:szCs w:val="28"/>
        </w:rPr>
        <w:t>Gewasbescherming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Zoek op internet op hoe de volgende aantastingen kunt bestrijden.</w:t>
      </w: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/>
      </w:tblPr>
      <w:tblGrid>
        <w:gridCol w:w="2093"/>
        <w:gridCol w:w="7119"/>
      </w:tblGrid>
      <w:tr w:rsidR="000059D4" w:rsidTr="000059D4">
        <w:tc>
          <w:tcPr>
            <w:tcW w:w="2093" w:type="dxa"/>
          </w:tcPr>
          <w:p w:rsidR="000059D4" w:rsidRPr="000059D4" w:rsidRDefault="000059D4" w:rsidP="000059D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</w:pPr>
            <w:r w:rsidRPr="000059D4">
              <w:rPr>
                <w:rFonts w:ascii="Arial-BoldMT" w:hAnsi="Arial-BoldMT" w:cs="Arial-BoldMT"/>
                <w:b/>
                <w:bCs/>
                <w:i/>
                <w:sz w:val="20"/>
                <w:szCs w:val="20"/>
              </w:rPr>
              <w:t>Aantasting</w:t>
            </w:r>
          </w:p>
          <w:p w:rsidR="000059D4" w:rsidRDefault="000059D4" w:rsidP="000059D4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  <w:tc>
          <w:tcPr>
            <w:tcW w:w="7119" w:type="dxa"/>
          </w:tcPr>
          <w:p w:rsidR="000059D4" w:rsidRPr="000059D4" w:rsidRDefault="000059D4" w:rsidP="000059D4">
            <w:pPr>
              <w:autoSpaceDE w:val="0"/>
              <w:autoSpaceDN w:val="0"/>
              <w:adjustRightInd w:val="0"/>
              <w:jc w:val="center"/>
              <w:rPr>
                <w:rFonts w:ascii="Arial-ItalicMT" w:hAnsi="Arial-ItalicMT" w:cs="Arial-ItalicMT"/>
                <w:b/>
                <w:i/>
                <w:iCs/>
                <w:sz w:val="20"/>
                <w:szCs w:val="20"/>
              </w:rPr>
            </w:pPr>
            <w:r w:rsidRPr="000059D4">
              <w:rPr>
                <w:rFonts w:ascii="Arial-ItalicMT" w:hAnsi="Arial-ItalicMT" w:cs="Arial-ItalicMT"/>
                <w:b/>
                <w:i/>
                <w:iCs/>
                <w:sz w:val="20"/>
                <w:szCs w:val="20"/>
              </w:rPr>
              <w:t>Bestrijding</w:t>
            </w:r>
          </w:p>
        </w:tc>
      </w:tr>
      <w:tr w:rsidR="000059D4" w:rsidTr="000059D4">
        <w:tc>
          <w:tcPr>
            <w:tcW w:w="2093" w:type="dxa"/>
          </w:tcPr>
          <w:p w:rsidR="000059D4" w:rsidRDefault="000059D4" w:rsidP="000059D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Aardvlo</w:t>
            </w:r>
          </w:p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  <w:tc>
          <w:tcPr>
            <w:tcW w:w="7119" w:type="dxa"/>
          </w:tcPr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</w:tr>
      <w:tr w:rsidR="000059D4" w:rsidTr="000059D4">
        <w:tc>
          <w:tcPr>
            <w:tcW w:w="2093" w:type="dxa"/>
          </w:tcPr>
          <w:p w:rsidR="000059D4" w:rsidRDefault="000059D4" w:rsidP="000059D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Bladluis</w:t>
            </w:r>
          </w:p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  <w:tc>
          <w:tcPr>
            <w:tcW w:w="7119" w:type="dxa"/>
          </w:tcPr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</w:tr>
      <w:tr w:rsidR="000059D4" w:rsidTr="000059D4">
        <w:tc>
          <w:tcPr>
            <w:tcW w:w="2093" w:type="dxa"/>
          </w:tcPr>
          <w:p w:rsidR="000059D4" w:rsidRDefault="000059D4" w:rsidP="000059D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Echte meeldauw</w:t>
            </w:r>
          </w:p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  <w:tc>
          <w:tcPr>
            <w:tcW w:w="7119" w:type="dxa"/>
          </w:tcPr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</w:tr>
      <w:tr w:rsidR="000059D4" w:rsidTr="000059D4">
        <w:tc>
          <w:tcPr>
            <w:tcW w:w="2093" w:type="dxa"/>
          </w:tcPr>
          <w:p w:rsidR="000059D4" w:rsidRDefault="000059D4" w:rsidP="000059D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Roest</w:t>
            </w:r>
          </w:p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  <w:tc>
          <w:tcPr>
            <w:tcW w:w="7119" w:type="dxa"/>
          </w:tcPr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</w:tr>
      <w:tr w:rsidR="000059D4" w:rsidTr="000059D4">
        <w:tc>
          <w:tcPr>
            <w:tcW w:w="2093" w:type="dxa"/>
          </w:tcPr>
          <w:p w:rsidR="000059D4" w:rsidRDefault="000059D4" w:rsidP="000059D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Roest</w:t>
            </w:r>
          </w:p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  <w:tc>
          <w:tcPr>
            <w:tcW w:w="7119" w:type="dxa"/>
          </w:tcPr>
          <w:p w:rsidR="000059D4" w:rsidRDefault="000059D4" w:rsidP="00FF0971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20"/>
                <w:szCs w:val="20"/>
              </w:rPr>
            </w:pPr>
          </w:p>
        </w:tc>
      </w:tr>
    </w:tbl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0059D4" w:rsidRDefault="000059D4" w:rsidP="00FF097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9E2B3E" w:rsidRDefault="009E2B3E" w:rsidP="00FF0971"/>
    <w:sectPr w:rsidR="009E2B3E" w:rsidSect="00FF09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0971"/>
    <w:rsid w:val="000059D4"/>
    <w:rsid w:val="009E2B3E"/>
    <w:rsid w:val="00B04113"/>
    <w:rsid w:val="00E142CB"/>
    <w:rsid w:val="00FF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B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097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0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12viwiga</dc:creator>
  <cp:lastModifiedBy>12viwiga</cp:lastModifiedBy>
  <cp:revision>1</cp:revision>
  <dcterms:created xsi:type="dcterms:W3CDTF">2011-11-03T08:22:00Z</dcterms:created>
  <dcterms:modified xsi:type="dcterms:W3CDTF">2011-11-03T08:45:00Z</dcterms:modified>
</cp:coreProperties>
</file>